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39" w:line="320" w:lineRule="auto"/>
        <w:ind w:left="-450" w:right="-990" w:firstLine="0"/>
        <w:jc w:val="center"/>
        <w:rPr>
          <w:rFonts w:ascii="Times" w:cs="Times" w:eastAsia="Times" w:hAnsi="Times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NOTICE OF MEETING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3" w:line="288" w:lineRule="auto"/>
        <w:ind w:left="728" w:hanging="7.000000000000028"/>
        <w:jc w:val="both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Notice is hereby given that the CMCA Board of Directors will conduct a meeting at 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22"/>
          <w:szCs w:val="22"/>
          <w:rtl w:val="0"/>
        </w:rPr>
        <w:t xml:space="preserve">6:00 p.m.</w:t>
      </w:r>
      <w:r w:rsidDel="00000000" w:rsidR="00000000" w:rsidRPr="00000000">
        <w:rPr>
          <w:rFonts w:ascii="Times" w:cs="Times" w:eastAsia="Times" w:hAnsi="Times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Thursday March 27,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2024 at 807B N Providence Rd, Columbia Mo in the Shriver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56" w:line="288" w:lineRule="auto"/>
        <w:ind w:left="1425" w:right="1422" w:firstLine="0"/>
        <w:jc w:val="center"/>
        <w:rPr>
          <w:rFonts w:ascii="Times" w:cs="Times" w:eastAsia="Times" w:hAnsi="Times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" w:cs="Times" w:eastAsia="Times" w:hAnsi="Times"/>
          <w:color w:val="ff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ff0000"/>
          <w:sz w:val="22"/>
          <w:szCs w:val="22"/>
          <w:rtl w:val="0"/>
        </w:rPr>
        <w:t xml:space="preserve">5pm - 6 pm Pre-Meeting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Worley Early Head Start Walk Through-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1402 W Worley, Columbia MO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Providence Landing Site Showing-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N. Fourth St. Between Hickman and Dysart St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Call to Order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Consent Agenda Items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Approval of Agenda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Minutes from February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Fiscal Reports and Credit Card Statements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Head Start Report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Program Updates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Outcomes 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Board Discussion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Housing Concept in Fulton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Board Training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Board Leadership in a Shifting Landscape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Head Start Non-Federal Share Waiver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United Way of Central Missouri Grant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Executive Directors Report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highlight w:val="white"/>
          <w:rtl w:val="0"/>
        </w:rPr>
        <w:t xml:space="preserve">Certified Organization Partner Agreement (COPA) between Heart of Missouri United Way and CMCA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ACF-OHS-IM-25-03-Promoting Healthy Eating and Nutrition for Head Start Children and Families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CMCA LIHEAP Monitoring Report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CMCA CSBG Final Report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Weatherization Monitoring Reports</w:t>
      </w:r>
    </w:p>
    <w:p w:rsidR="00000000" w:rsidDel="00000000" w:rsidP="00000000" w:rsidRDefault="00000000" w:rsidRPr="00000000" w14:paraId="00000025">
      <w:pPr>
        <w:ind w:left="720" w:firstLine="0"/>
        <w:rPr>
          <w:rFonts w:ascii="Times" w:cs="Times" w:eastAsia="Times" w:hAnsi="Times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Times" w:cs="Times" w:eastAsia="Times" w:hAnsi="Times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Times" w:cs="Times" w:eastAsia="Times" w:hAnsi="Times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Times" w:cs="Times" w:eastAsia="Times" w:hAnsi="Times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Times" w:cs="Times" w:eastAsia="Times" w:hAnsi="Times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b w:val="1"/>
          <w:i w:val="1"/>
          <w:sz w:val="18"/>
          <w:szCs w:val="18"/>
          <w:highlight w:val="white"/>
          <w:u w:val="single"/>
          <w:rtl w:val="0"/>
        </w:rPr>
        <w:t xml:space="preserve">Promise</w:t>
      </w:r>
      <w:r w:rsidDel="00000000" w:rsidR="00000000" w:rsidRPr="00000000">
        <w:rPr>
          <w:b w:val="1"/>
          <w:i w:val="1"/>
          <w:color w:val="000000"/>
          <w:sz w:val="18"/>
          <w:szCs w:val="18"/>
          <w:highlight w:val="white"/>
          <w:u w:val="single"/>
          <w:rtl w:val="0"/>
        </w:rPr>
        <w:t xml:space="preserve"> of Community Action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i w:val="1"/>
          <w:color w:val="000000"/>
          <w:sz w:val="18"/>
          <w:szCs w:val="18"/>
          <w:highlight w:val="white"/>
          <w:rtl w:val="0"/>
        </w:rPr>
        <w:t xml:space="preserve">Community Action changes people's lives, embodies the spirit of hope, improves communities and makes America a better place to live. We care about the entire community, and we are dedicated to helping people help themselves and each other.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144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43600" cy="1049020"/>
          <wp:effectExtent b="0" l="0" r="0" t="0"/>
          <wp:docPr descr="CMCA_Letterhead_foot.jpg" id="81" name="image1.jpg"/>
          <a:graphic>
            <a:graphicData uri="http://schemas.openxmlformats.org/drawingml/2006/picture">
              <pic:pic>
                <pic:nvPicPr>
                  <pic:cNvPr descr="CMCA_Letterhead_foo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10800"/>
      </w:tabs>
      <w:jc w:val="center"/>
      <w:rPr>
        <w:rFonts w:ascii="Calibri" w:cs="Calibri" w:eastAsia="Calibri" w:hAnsi="Calibri"/>
        <w:color w:val="17365d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17365d"/>
        <w:sz w:val="20"/>
        <w:szCs w:val="20"/>
      </w:rPr>
      <w:drawing>
        <wp:inline distB="0" distT="0" distL="0" distR="0">
          <wp:extent cx="5928939" cy="584104"/>
          <wp:effectExtent b="0" l="0" r="0" t="0"/>
          <wp:docPr id="8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8939" cy="5841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10080"/>
      </w:tabs>
      <w:ind w:left="-270" w:right="720" w:firstLine="0"/>
      <w:jc w:val="center"/>
      <w:rPr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17365d"/>
        <w:sz w:val="18"/>
        <w:szCs w:val="18"/>
      </w:rPr>
      <w:drawing>
        <wp:inline distB="0" distT="0" distL="0" distR="0">
          <wp:extent cx="6171240" cy="898068"/>
          <wp:effectExtent b="0" l="0" r="0" t="0"/>
          <wp:docPr id="7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4208" r="6134" t="0"/>
                  <a:stretch>
                    <a:fillRect/>
                  </a:stretch>
                </pic:blipFill>
                <pic:spPr>
                  <a:xfrm>
                    <a:off x="0" y="0"/>
                    <a:ext cx="6171240" cy="898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rFonts w:ascii="Arial" w:cs="Arial" w:eastAsia="Arial" w:hAnsi="Arial"/>
        <w:b w:val="1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0E2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  <w:qFormat w:val="1"/>
    <w:rsid w:val="000544A1"/>
  </w:style>
  <w:style w:type="character" w:styleId="FooterChar" w:customStyle="1">
    <w:name w:val="Footer Char"/>
    <w:basedOn w:val="DefaultParagraphFont"/>
    <w:link w:val="Footer"/>
    <w:uiPriority w:val="99"/>
    <w:qFormat w:val="1"/>
    <w:rsid w:val="000544A1"/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EF559F"/>
    <w:rPr>
      <w:rFonts w:ascii="Tahoma" w:cs="Tahoma" w:hAnsi="Tahoma"/>
      <w:sz w:val="16"/>
      <w:szCs w:val="16"/>
    </w:rPr>
  </w:style>
  <w:style w:type="character" w:styleId="ListLabel1" w:customStyle="1">
    <w:name w:val="ListLabel 1"/>
    <w:qFormat w:val="1"/>
    <w:rPr>
      <w:rFonts w:ascii="Roboto" w:cs="Courier New" w:hAnsi="Roboto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ascii="Roboto" w:cs="Courier New" w:hAnsi="Roboto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 w:val="1"/>
    <w:rsid w:val="00054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 w:val="1"/>
    <w:rsid w:val="000544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EF559F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 w:val="1"/>
    <w:rsid w:val="003965CE"/>
    <w:pPr>
      <w:ind w:left="720"/>
      <w:contextualSpacing w:val="1"/>
    </w:pPr>
  </w:style>
  <w:style w:type="character" w:styleId="ListParagraphChar" w:customStyle="1">
    <w:name w:val="List Paragraph Char"/>
    <w:basedOn w:val="DefaultParagraphFont"/>
    <w:link w:val="ListParagraph"/>
    <w:uiPriority w:val="34"/>
    <w:locked w:val="1"/>
    <w:rsid w:val="005C6891"/>
  </w:style>
  <w:style w:type="character" w:styleId="Hyperlink">
    <w:name w:val="Hyperlink"/>
    <w:basedOn w:val="DefaultParagraphFont"/>
    <w:uiPriority w:val="99"/>
    <w:unhideWhenUsed w:val="1"/>
    <w:rsid w:val="005C689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2D002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label" w:customStyle="1">
    <w:name w:val="label"/>
    <w:basedOn w:val="DefaultParagraphFont"/>
    <w:rsid w:val="0075311B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7442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4C9DaofAIWnWj/uzbwJWH60KFw==">CgMxLjA4AHIhMURSd29hSDdRcjh1MTEtVC00ak1NdVZmYWNWVUJ6dlNF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2022-04-21T16:55:00Z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Mizzou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